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D206" w14:textId="77777777" w:rsidR="00777E5E" w:rsidRPr="0011384F" w:rsidRDefault="008F4458" w:rsidP="00FF668E">
      <w:pPr>
        <w:jc w:val="both"/>
      </w:pPr>
    </w:p>
    <w:p w14:paraId="53C3EA2C" w14:textId="77777777" w:rsidR="00EE542C" w:rsidRPr="0011384F" w:rsidRDefault="00EE542C" w:rsidP="00FF668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11384F" w:rsidRPr="00C86BD9" w14:paraId="55FB5044" w14:textId="77777777" w:rsidTr="0011384F">
        <w:trPr>
          <w:trHeight w:val="1477"/>
        </w:trPr>
        <w:tc>
          <w:tcPr>
            <w:tcW w:w="9072" w:type="dxa"/>
          </w:tcPr>
          <w:p w14:paraId="1DFB8A74" w14:textId="77777777" w:rsidR="0011384F" w:rsidRPr="00C86BD9" w:rsidRDefault="0011384F" w:rsidP="00737C49">
            <w:pPr>
              <w:rPr>
                <w:color w:val="000000"/>
              </w:rPr>
            </w:pPr>
            <w:r w:rsidRPr="00C86BD9">
              <w:rPr>
                <w:noProof/>
                <w:color w:val="000000"/>
                <w:lang w:eastAsia="et-EE"/>
              </w:rPr>
              <w:drawing>
                <wp:inline distT="0" distB="0" distL="0" distR="0" wp14:anchorId="33DE6571" wp14:editId="75E66608">
                  <wp:extent cx="1200150" cy="809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6BD9">
              <w:rPr>
                <w:noProof/>
                <w:color w:val="000000"/>
                <w:lang w:eastAsia="et-EE"/>
              </w:rPr>
              <w:t xml:space="preserve">       </w:t>
            </w:r>
            <w:r w:rsidRPr="00C86BD9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et-EE"/>
              </w:rPr>
              <w:drawing>
                <wp:inline distT="0" distB="0" distL="0" distR="0" wp14:anchorId="22E533C6" wp14:editId="4DFFF7F0">
                  <wp:extent cx="2552700" cy="9620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432F86" w14:textId="64DEB2CE" w:rsidR="00EE542C" w:rsidRPr="0011384F" w:rsidRDefault="002B0074" w:rsidP="00FF668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t-EE"/>
        </w:rPr>
      </w:pPr>
      <w:r w:rsidRPr="001138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t-EE"/>
        </w:rPr>
        <w:t xml:space="preserve">Piiriveere </w:t>
      </w:r>
      <w:proofErr w:type="spellStart"/>
      <w:r w:rsidRPr="001138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t-EE"/>
        </w:rPr>
        <w:t>Liideri</w:t>
      </w:r>
      <w:proofErr w:type="spellEnd"/>
      <w:r w:rsidRPr="001138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t-EE"/>
        </w:rPr>
        <w:t xml:space="preserve"> 2018. a</w:t>
      </w:r>
      <w:r w:rsidR="00EE542C" w:rsidRPr="001138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t-EE"/>
        </w:rPr>
        <w:t xml:space="preserve"> </w:t>
      </w:r>
      <w:r w:rsidR="002D479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t-EE"/>
        </w:rPr>
        <w:t xml:space="preserve">II </w:t>
      </w:r>
      <w:r w:rsidR="00EE542C" w:rsidRPr="001138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t-EE"/>
        </w:rPr>
        <w:t xml:space="preserve">vooru laekus </w:t>
      </w:r>
      <w:r w:rsidR="002D479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t-EE"/>
        </w:rPr>
        <w:t>pea veerandsada</w:t>
      </w:r>
      <w:r w:rsidR="00EE542C" w:rsidRPr="0011384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t-EE"/>
        </w:rPr>
        <w:t xml:space="preserve"> projektitaotlust</w:t>
      </w:r>
    </w:p>
    <w:p w14:paraId="799C3A27" w14:textId="6123FFA7" w:rsidR="002D4794" w:rsidRDefault="002B0074" w:rsidP="002D4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Piiriveere </w:t>
      </w:r>
      <w:proofErr w:type="spellStart"/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Liideri</w:t>
      </w:r>
      <w:proofErr w:type="spellEnd"/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2018. aasta 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II </w:t>
      </w: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taotlusvoor oli avatud 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.-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17</w:t>
      </w:r>
      <w:r w:rsidR="00EE542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detsember 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kahele toetusmeetmele - 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elukeskkonna arendami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ne (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mee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de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) ja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ühistegevuse arendamine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meede 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3.1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Nimetatud k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ahte</w:t>
      </w: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meetmesse esitati kokku 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22</w:t>
      </w:r>
      <w:r w:rsidR="00EE542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projekt</w:t>
      </w: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itaotlust, küsides toetust 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216,1</w:t>
      </w:r>
      <w:r w:rsidR="00EE542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tuh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at</w:t>
      </w:r>
      <w:r w:rsidR="00EE542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eurot. Käesolevaks voo</w:t>
      </w:r>
      <w:r w:rsidR="00D41058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ruks kinnitatud eelarve on </w:t>
      </w:r>
      <w:r w:rsidR="00F02224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ligi </w:t>
      </w: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37,3</w:t>
      </w:r>
      <w:r w:rsidR="00EE542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tuh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at</w:t>
      </w:r>
      <w:r w:rsidR="00EE542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eurot. Võrreldes </w:t>
      </w:r>
      <w:r w:rsidR="00C36718">
        <w:rPr>
          <w:rFonts w:ascii="Times New Roman" w:eastAsia="Times New Roman" w:hAnsi="Times New Roman" w:cs="Times New Roman"/>
          <w:sz w:val="24"/>
          <w:szCs w:val="24"/>
          <w:lang w:eastAsia="et-EE"/>
        </w:rPr>
        <w:t>viimaste</w:t>
      </w:r>
      <w:r w:rsidR="007354D3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B5397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taotlus</w:t>
      </w:r>
      <w:r w:rsidR="00EE542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vooru</w:t>
      </w:r>
      <w:r w:rsidR="00C36718">
        <w:rPr>
          <w:rFonts w:ascii="Times New Roman" w:eastAsia="Times New Roman" w:hAnsi="Times New Roman" w:cs="Times New Roman"/>
          <w:sz w:val="24"/>
          <w:szCs w:val="24"/>
          <w:lang w:eastAsia="et-EE"/>
        </w:rPr>
        <w:t>dega</w:t>
      </w:r>
      <w:r w:rsidR="00EE542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taotlejate arv</w:t>
      </w:r>
      <w:r w:rsidR="00D41058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36718">
        <w:rPr>
          <w:rFonts w:ascii="Times New Roman" w:eastAsia="Times New Roman" w:hAnsi="Times New Roman" w:cs="Times New Roman"/>
          <w:sz w:val="24"/>
          <w:szCs w:val="24"/>
          <w:lang w:eastAsia="et-EE"/>
        </w:rPr>
        <w:t>elukeskkonna arendamise meetmes suurenenud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, ühistegevuse arendamise meetmes püsinud samal tasemel</w:t>
      </w:r>
      <w:r w:rsidR="00EE542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0247E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igi 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>40</w:t>
      </w:r>
      <w:r w:rsidR="00292C24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% </w:t>
      </w:r>
      <w:r w:rsidR="008F445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vooru </w:t>
      </w:r>
      <w:r w:rsidR="00292C24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taotlejatest pole varem Piiriveere Liiderist toetust saanud.</w:t>
      </w:r>
    </w:p>
    <w:p w14:paraId="7D421116" w14:textId="25F4A640" w:rsidR="00EE542C" w:rsidRPr="0011384F" w:rsidRDefault="00EE542C" w:rsidP="002D47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Elukeskkonna arend</w:t>
      </w:r>
      <w:r w:rsidR="002B0074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amise meetmesse esitati kokku 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19</w:t>
      </w: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investeeringuprojekti, millega </w:t>
      </w:r>
      <w:r w:rsidR="00617E8E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ko</w:t>
      </w:r>
      <w:r w:rsidR="002B0074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kku küsitakse toetust ligi 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161 </w:t>
      </w:r>
      <w:r w:rsidR="000F0E49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tuh</w:t>
      </w:r>
      <w:r w:rsidR="002D4794">
        <w:rPr>
          <w:rFonts w:ascii="Times New Roman" w:eastAsia="Times New Roman" w:hAnsi="Times New Roman" w:cs="Times New Roman"/>
          <w:sz w:val="24"/>
          <w:szCs w:val="24"/>
          <w:lang w:eastAsia="et-EE"/>
        </w:rPr>
        <w:t>at</w:t>
      </w: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eurot. </w:t>
      </w:r>
      <w:r w:rsidR="00D6377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Nimetatud meetmes on maksimaalselt lubatud toetussumma 10 tuh</w:t>
      </w:r>
      <w:r w:rsidR="00D6377C">
        <w:rPr>
          <w:rFonts w:ascii="Times New Roman" w:eastAsia="Times New Roman" w:hAnsi="Times New Roman" w:cs="Times New Roman"/>
          <w:sz w:val="24"/>
          <w:szCs w:val="24"/>
          <w:lang w:eastAsia="et-EE"/>
        </w:rPr>
        <w:t>at</w:t>
      </w:r>
      <w:r w:rsidR="00D6377C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eurot</w:t>
      </w:r>
      <w:r w:rsidR="00D6377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6A96767F" w14:textId="353920BA" w:rsidR="00EE542C" w:rsidRPr="002D4794" w:rsidRDefault="00EE542C" w:rsidP="00FF668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Ühisteg</w:t>
      </w:r>
      <w:r w:rsidR="002B0074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evuse projekte laekus kokku kolm,</w:t>
      </w:r>
      <w:r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millega kokku taotletakse erinevate </w:t>
      </w:r>
      <w:r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org</w:t>
      </w:r>
      <w:r w:rsidR="002B0074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anisatsioonide ühistööks ligi 5</w:t>
      </w:r>
      <w:r w:rsidR="002D4794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5</w:t>
      </w:r>
      <w:r w:rsidR="002B0074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,</w:t>
      </w:r>
      <w:r w:rsidR="002D4794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1</w:t>
      </w:r>
      <w:r w:rsidR="000F0E49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tuh</w:t>
      </w:r>
      <w:r w:rsid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at</w:t>
      </w:r>
      <w:r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eurot.</w:t>
      </w:r>
      <w:r w:rsidR="00C36718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</w:t>
      </w:r>
      <w:r w:rsidR="00C36718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Nimetatud meetmes on maksimaalselt lubatud toetussumma </w:t>
      </w:r>
      <w:r w:rsidR="00C36718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C36718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>0 tuh</w:t>
      </w:r>
      <w:r w:rsidR="00C36718">
        <w:rPr>
          <w:rFonts w:ascii="Times New Roman" w:eastAsia="Times New Roman" w:hAnsi="Times New Roman" w:cs="Times New Roman"/>
          <w:sz w:val="24"/>
          <w:szCs w:val="24"/>
          <w:lang w:eastAsia="et-EE"/>
        </w:rPr>
        <w:t>at</w:t>
      </w:r>
      <w:r w:rsidR="00C36718" w:rsidRPr="001138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eurot</w:t>
      </w:r>
      <w:r w:rsidR="00C36718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94CC991" w14:textId="24FCF6EA" w:rsidR="00EE542C" w:rsidRPr="002D4794" w:rsidRDefault="00EE542C" w:rsidP="00FF668E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Taotlusvooru tulemused selguvad hindamiskomisjoni töö tulemusel </w:t>
      </w:r>
      <w:r w:rsidR="00C36718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tuleva aasta </w:t>
      </w:r>
      <w:r w:rsidR="008F4458">
        <w:rPr>
          <w:rFonts w:asciiTheme="majorBidi" w:eastAsia="Times New Roman" w:hAnsiTheme="majorBidi" w:cstheme="majorBidi"/>
          <w:sz w:val="24"/>
          <w:szCs w:val="24"/>
          <w:lang w:eastAsia="et-EE"/>
        </w:rPr>
        <w:t>veebruarikuus</w:t>
      </w:r>
      <w:r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. Ettepanek projektide toetamise osa</w:t>
      </w:r>
      <w:r w:rsidR="007F6C88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s edastatakse </w:t>
      </w:r>
      <w:proofErr w:type="spellStart"/>
      <w:r w:rsidR="007F6C88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PRIAle</w:t>
      </w:r>
      <w:proofErr w:type="spellEnd"/>
      <w:r w:rsidR="007F6C88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hiljemalt </w:t>
      </w:r>
      <w:r w:rsidR="008F4458">
        <w:rPr>
          <w:rFonts w:asciiTheme="majorBidi" w:eastAsia="Times New Roman" w:hAnsiTheme="majorBidi" w:cstheme="majorBidi"/>
          <w:sz w:val="24"/>
          <w:szCs w:val="24"/>
          <w:lang w:eastAsia="et-EE"/>
        </w:rPr>
        <w:t>8</w:t>
      </w:r>
      <w:r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. </w:t>
      </w:r>
      <w:r w:rsidR="008F4458">
        <w:rPr>
          <w:rFonts w:asciiTheme="majorBidi" w:eastAsia="Times New Roman" w:hAnsiTheme="majorBidi" w:cstheme="majorBidi"/>
          <w:sz w:val="24"/>
          <w:szCs w:val="24"/>
          <w:lang w:eastAsia="et-EE"/>
        </w:rPr>
        <w:t>märts</w:t>
      </w:r>
      <w:r w:rsidR="002D4794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 </w:t>
      </w:r>
      <w:r w:rsidR="007F6C88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201</w:t>
      </w:r>
      <w:r w:rsidR="002D4794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9</w:t>
      </w:r>
      <w:r w:rsidR="007F6C88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.</w:t>
      </w:r>
    </w:p>
    <w:p w14:paraId="50DBADB1" w14:textId="77777777" w:rsidR="00C36718" w:rsidRDefault="00EE542C" w:rsidP="00C3671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  <w:t>Lisainfo:</w:t>
      </w:r>
      <w:bookmarkStart w:id="0" w:name="_GoBack"/>
      <w:bookmarkEnd w:id="0"/>
      <w:r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</w:r>
      <w:r w:rsidR="002D4794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Endla Mitt</w:t>
      </w:r>
    </w:p>
    <w:p w14:paraId="01DD9AF1" w14:textId="16A34535" w:rsidR="00EE542C" w:rsidRPr="002D4794" w:rsidRDefault="00C36718" w:rsidP="00C3671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tegevjuht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  <w:t xml:space="preserve">MTÜ Piiriveere Liider 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</w:r>
      <w:r w:rsidR="002D4794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endla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@piiriveere.ee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  <w:t xml:space="preserve">+372 </w:t>
      </w:r>
      <w:r w:rsidR="002D4794" w:rsidRPr="002D4794">
        <w:rPr>
          <w:rFonts w:asciiTheme="majorBidi" w:hAnsiTheme="majorBidi" w:cstheme="majorBidi"/>
          <w:sz w:val="24"/>
          <w:szCs w:val="24"/>
        </w:rPr>
        <w:t>512 7160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  <w:t>www.piiriveere.ee</w:t>
      </w:r>
    </w:p>
    <w:p w14:paraId="2D8DCC2B" w14:textId="77777777" w:rsidR="00EE542C" w:rsidRPr="0011384F" w:rsidRDefault="00EE542C" w:rsidP="00FF668E">
      <w:pPr>
        <w:jc w:val="both"/>
      </w:pPr>
    </w:p>
    <w:sectPr w:rsidR="00EE542C" w:rsidRPr="0011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2C"/>
    <w:rsid w:val="000247EC"/>
    <w:rsid w:val="000711E2"/>
    <w:rsid w:val="000F0E49"/>
    <w:rsid w:val="0011384F"/>
    <w:rsid w:val="002472FC"/>
    <w:rsid w:val="00292C24"/>
    <w:rsid w:val="002B0074"/>
    <w:rsid w:val="002D4794"/>
    <w:rsid w:val="003471D9"/>
    <w:rsid w:val="00386ED4"/>
    <w:rsid w:val="004B5397"/>
    <w:rsid w:val="005A00BE"/>
    <w:rsid w:val="005F3424"/>
    <w:rsid w:val="00617E8E"/>
    <w:rsid w:val="006A06DE"/>
    <w:rsid w:val="007354D3"/>
    <w:rsid w:val="007804B9"/>
    <w:rsid w:val="007F6C88"/>
    <w:rsid w:val="008C5EBD"/>
    <w:rsid w:val="008F4458"/>
    <w:rsid w:val="00907EA9"/>
    <w:rsid w:val="009B2A71"/>
    <w:rsid w:val="00A314CF"/>
    <w:rsid w:val="00AF4A84"/>
    <w:rsid w:val="00B63935"/>
    <w:rsid w:val="00B64F85"/>
    <w:rsid w:val="00BB5221"/>
    <w:rsid w:val="00C26449"/>
    <w:rsid w:val="00C36718"/>
    <w:rsid w:val="00C50D52"/>
    <w:rsid w:val="00D41058"/>
    <w:rsid w:val="00D6377C"/>
    <w:rsid w:val="00D66F36"/>
    <w:rsid w:val="00EE542C"/>
    <w:rsid w:val="00F02224"/>
    <w:rsid w:val="00F03AE3"/>
    <w:rsid w:val="00F0519C"/>
    <w:rsid w:val="00FA0B9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06F2"/>
  <w15:chartTrackingRefBased/>
  <w15:docId w15:val="{508533AD-ABD6-4C1B-9F12-0CED629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5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2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EE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617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113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19</cp:revision>
  <dcterms:created xsi:type="dcterms:W3CDTF">2017-10-16T08:58:00Z</dcterms:created>
  <dcterms:modified xsi:type="dcterms:W3CDTF">2018-12-18T08:32:00Z</dcterms:modified>
</cp:coreProperties>
</file>